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675" w:rsidRPr="00C46675" w:rsidRDefault="00C46675" w:rsidP="00C46675">
      <w:pPr>
        <w:spacing w:line="480" w:lineRule="auto"/>
        <w:rPr>
          <w:rFonts w:ascii="Times New Roman" w:hAnsi="Times New Roman" w:cs="Times New Roman"/>
          <w:sz w:val="24"/>
          <w:szCs w:val="24"/>
        </w:rPr>
      </w:pPr>
    </w:p>
    <w:p w:rsidR="00C46675" w:rsidRPr="00C46675" w:rsidRDefault="00C46675" w:rsidP="00C46675">
      <w:pPr>
        <w:spacing w:line="480" w:lineRule="auto"/>
        <w:rPr>
          <w:rFonts w:ascii="Times New Roman" w:hAnsi="Times New Roman" w:cs="Times New Roman"/>
          <w:sz w:val="24"/>
          <w:szCs w:val="24"/>
        </w:rPr>
      </w:pPr>
    </w:p>
    <w:p w:rsidR="00C46675" w:rsidRPr="00C46675" w:rsidRDefault="00C46675" w:rsidP="00C46675">
      <w:pPr>
        <w:spacing w:line="480" w:lineRule="auto"/>
        <w:rPr>
          <w:rFonts w:ascii="Times New Roman" w:hAnsi="Times New Roman" w:cs="Times New Roman"/>
          <w:sz w:val="24"/>
          <w:szCs w:val="24"/>
        </w:rPr>
      </w:pPr>
    </w:p>
    <w:p w:rsidR="00C46675" w:rsidRPr="00C46675" w:rsidRDefault="00C46675" w:rsidP="00C46675">
      <w:pPr>
        <w:spacing w:line="480" w:lineRule="auto"/>
        <w:rPr>
          <w:rFonts w:ascii="Times New Roman" w:hAnsi="Times New Roman" w:cs="Times New Roman"/>
          <w:sz w:val="24"/>
          <w:szCs w:val="24"/>
        </w:rPr>
      </w:pPr>
    </w:p>
    <w:p w:rsidR="00C46675" w:rsidRPr="00C46675" w:rsidRDefault="00C46675" w:rsidP="00C46675">
      <w:pPr>
        <w:spacing w:line="480" w:lineRule="auto"/>
        <w:rPr>
          <w:rFonts w:ascii="Times New Roman" w:hAnsi="Times New Roman" w:cs="Times New Roman"/>
          <w:sz w:val="24"/>
          <w:szCs w:val="24"/>
        </w:rPr>
      </w:pPr>
    </w:p>
    <w:p w:rsidR="00C46675" w:rsidRPr="00C46675" w:rsidRDefault="00C46675" w:rsidP="00C46675">
      <w:pPr>
        <w:spacing w:line="480" w:lineRule="auto"/>
        <w:rPr>
          <w:rFonts w:ascii="Times New Roman" w:hAnsi="Times New Roman" w:cs="Times New Roman"/>
          <w:sz w:val="24"/>
          <w:szCs w:val="24"/>
        </w:rPr>
      </w:pPr>
    </w:p>
    <w:p w:rsidR="00C46675" w:rsidRPr="00C46675" w:rsidRDefault="00C46675" w:rsidP="00C46675">
      <w:pPr>
        <w:spacing w:line="480" w:lineRule="auto"/>
        <w:jc w:val="center"/>
        <w:rPr>
          <w:rFonts w:ascii="Times New Roman" w:hAnsi="Times New Roman" w:cs="Times New Roman"/>
          <w:sz w:val="24"/>
          <w:szCs w:val="24"/>
        </w:rPr>
      </w:pPr>
      <w:r w:rsidRPr="00C46675">
        <w:rPr>
          <w:rFonts w:ascii="Times New Roman" w:hAnsi="Times New Roman" w:cs="Times New Roman"/>
          <w:sz w:val="24"/>
          <w:szCs w:val="24"/>
        </w:rPr>
        <w:t>Total Quality Management</w:t>
      </w:r>
    </w:p>
    <w:p w:rsidR="00C46675" w:rsidRPr="00C46675" w:rsidRDefault="00C46675" w:rsidP="00C46675">
      <w:pPr>
        <w:spacing w:line="480" w:lineRule="auto"/>
        <w:jc w:val="center"/>
        <w:rPr>
          <w:rFonts w:ascii="Times New Roman" w:hAnsi="Times New Roman" w:cs="Times New Roman"/>
          <w:sz w:val="24"/>
          <w:szCs w:val="24"/>
        </w:rPr>
      </w:pPr>
      <w:r w:rsidRPr="00C46675">
        <w:rPr>
          <w:rFonts w:ascii="Times New Roman" w:hAnsi="Times New Roman" w:cs="Times New Roman"/>
          <w:sz w:val="24"/>
          <w:szCs w:val="24"/>
        </w:rPr>
        <w:t>Name of Student</w:t>
      </w:r>
    </w:p>
    <w:p w:rsidR="00C46675" w:rsidRPr="00C46675" w:rsidRDefault="00C46675" w:rsidP="00C46675">
      <w:pPr>
        <w:spacing w:line="480" w:lineRule="auto"/>
        <w:jc w:val="center"/>
        <w:rPr>
          <w:rFonts w:ascii="Times New Roman" w:hAnsi="Times New Roman" w:cs="Times New Roman"/>
          <w:sz w:val="24"/>
          <w:szCs w:val="24"/>
        </w:rPr>
      </w:pPr>
      <w:r w:rsidRPr="00C46675">
        <w:rPr>
          <w:rFonts w:ascii="Times New Roman" w:hAnsi="Times New Roman" w:cs="Times New Roman"/>
          <w:sz w:val="24"/>
          <w:szCs w:val="24"/>
        </w:rPr>
        <w:t xml:space="preserve">Name of Institution </w:t>
      </w:r>
    </w:p>
    <w:p w:rsidR="00C46675" w:rsidRPr="00C46675" w:rsidRDefault="00C46675" w:rsidP="00C46675">
      <w:pPr>
        <w:spacing w:line="480" w:lineRule="auto"/>
        <w:jc w:val="center"/>
        <w:rPr>
          <w:rFonts w:ascii="Times New Roman" w:hAnsi="Times New Roman" w:cs="Times New Roman"/>
          <w:sz w:val="24"/>
          <w:szCs w:val="24"/>
        </w:rPr>
      </w:pPr>
      <w:r w:rsidRPr="00C46675">
        <w:rPr>
          <w:rFonts w:ascii="Times New Roman" w:hAnsi="Times New Roman" w:cs="Times New Roman"/>
          <w:sz w:val="24"/>
          <w:szCs w:val="24"/>
        </w:rPr>
        <w:t>Date</w:t>
      </w:r>
      <w:r w:rsidRPr="00C46675">
        <w:rPr>
          <w:rFonts w:ascii="Times New Roman" w:hAnsi="Times New Roman" w:cs="Times New Roman"/>
          <w:sz w:val="24"/>
          <w:szCs w:val="24"/>
        </w:rPr>
        <w:br w:type="page"/>
      </w:r>
    </w:p>
    <w:p w:rsidR="00F13F07" w:rsidRPr="00C46675" w:rsidRDefault="00F13F07" w:rsidP="00C46675">
      <w:pPr>
        <w:spacing w:line="480" w:lineRule="auto"/>
        <w:ind w:firstLine="720"/>
        <w:rPr>
          <w:rFonts w:ascii="Times New Roman" w:hAnsi="Times New Roman" w:cs="Times New Roman"/>
          <w:sz w:val="24"/>
          <w:szCs w:val="24"/>
        </w:rPr>
      </w:pPr>
      <w:r w:rsidRPr="00C46675">
        <w:rPr>
          <w:rFonts w:ascii="Times New Roman" w:hAnsi="Times New Roman" w:cs="Times New Roman"/>
          <w:sz w:val="24"/>
          <w:szCs w:val="24"/>
        </w:rPr>
        <w:lastRenderedPageBreak/>
        <w:t xml:space="preserve">A researcher called Kaoru Ishikawa developed the cause-and-effect diagram, also known as the fishbone diagram in 1943 for the concept of quality control and root cause analysis. The diagram takes up the shape of a skeleton of a fish which is applicable in scenarios of identification of quality programs, and they are aligned according to their degree of significance. When I apply the tool in a medical facility, it will be fundamental as a problem solving tool through investigation and systematic analysis of all the probable and real causes that will manifest from a singular effect in management </w:t>
      </w:r>
      <w:sdt>
        <w:sdtPr>
          <w:rPr>
            <w:rFonts w:ascii="Times New Roman" w:hAnsi="Times New Roman" w:cs="Times New Roman"/>
            <w:sz w:val="24"/>
            <w:szCs w:val="24"/>
          </w:rPr>
          <w:id w:val="493609001"/>
          <w:citation/>
        </w:sdtPr>
        <w:sdtContent>
          <w:r w:rsidR="00F275ED" w:rsidRPr="00C46675">
            <w:rPr>
              <w:rFonts w:ascii="Times New Roman" w:hAnsi="Times New Roman" w:cs="Times New Roman"/>
              <w:sz w:val="24"/>
              <w:szCs w:val="24"/>
            </w:rPr>
            <w:fldChar w:fldCharType="begin"/>
          </w:r>
          <w:r w:rsidRPr="00C46675">
            <w:rPr>
              <w:rFonts w:ascii="Times New Roman" w:hAnsi="Times New Roman" w:cs="Times New Roman"/>
              <w:sz w:val="24"/>
              <w:szCs w:val="24"/>
            </w:rPr>
            <w:instrText xml:space="preserve"> CITATION Ney17 \l 1033 </w:instrText>
          </w:r>
          <w:r w:rsidR="00F275ED" w:rsidRPr="00C46675">
            <w:rPr>
              <w:rFonts w:ascii="Times New Roman" w:hAnsi="Times New Roman" w:cs="Times New Roman"/>
              <w:sz w:val="24"/>
              <w:szCs w:val="24"/>
            </w:rPr>
            <w:fldChar w:fldCharType="separate"/>
          </w:r>
          <w:r w:rsidRPr="00C46675">
            <w:rPr>
              <w:rFonts w:ascii="Times New Roman" w:hAnsi="Times New Roman" w:cs="Times New Roman"/>
              <w:noProof/>
              <w:sz w:val="24"/>
              <w:szCs w:val="24"/>
            </w:rPr>
            <w:t>(Neyestani, 2017)</w:t>
          </w:r>
          <w:r w:rsidR="00F275ED" w:rsidRPr="00C46675">
            <w:rPr>
              <w:rFonts w:ascii="Times New Roman" w:hAnsi="Times New Roman" w:cs="Times New Roman"/>
              <w:sz w:val="24"/>
              <w:szCs w:val="24"/>
            </w:rPr>
            <w:fldChar w:fldCharType="end"/>
          </w:r>
        </w:sdtContent>
      </w:sdt>
      <w:r w:rsidRPr="00C46675">
        <w:rPr>
          <w:rFonts w:ascii="Times New Roman" w:hAnsi="Times New Roman" w:cs="Times New Roman"/>
          <w:sz w:val="24"/>
          <w:szCs w:val="24"/>
        </w:rPr>
        <w:t xml:space="preserve">. Application of the </w:t>
      </w:r>
      <w:r w:rsidR="00AA76DA" w:rsidRPr="00C46675">
        <w:rPr>
          <w:rFonts w:ascii="Times New Roman" w:hAnsi="Times New Roman" w:cs="Times New Roman"/>
          <w:sz w:val="24"/>
          <w:szCs w:val="24"/>
        </w:rPr>
        <w:t xml:space="preserve">tool will require gathering of probable causes, and organizing them in their order of significance. To reach a common understanding of the issue at hand, there is a necessity to expose any gaps that exist within the applied logic, effectively and efficiently studying each cause, and ranking them. The fishbone diagram has six generic categories by which the analysis and organization of the cause and effect are studied and ranked; environment, personnel, measurement, machine, method, and material. The probable causes and indicated as arrows that feed into any of the six generic categories identified. </w:t>
      </w:r>
      <w:r w:rsidRPr="00C46675">
        <w:rPr>
          <w:rFonts w:ascii="Times New Roman" w:hAnsi="Times New Roman" w:cs="Times New Roman"/>
          <w:sz w:val="24"/>
          <w:szCs w:val="24"/>
        </w:rPr>
        <w:t xml:space="preserve">The same technique can be applied in exploration of probable sources of a problem. </w:t>
      </w:r>
    </w:p>
    <w:p w:rsidR="00AA76DA" w:rsidRPr="00C46675" w:rsidRDefault="00AA76DA" w:rsidP="00C46675">
      <w:pPr>
        <w:spacing w:line="480" w:lineRule="auto"/>
        <w:ind w:firstLine="720"/>
        <w:rPr>
          <w:rFonts w:ascii="Times New Roman" w:hAnsi="Times New Roman" w:cs="Times New Roman"/>
          <w:sz w:val="24"/>
          <w:szCs w:val="24"/>
        </w:rPr>
      </w:pPr>
      <w:r w:rsidRPr="00C46675">
        <w:rPr>
          <w:rFonts w:ascii="Times New Roman" w:hAnsi="Times New Roman" w:cs="Times New Roman"/>
          <w:sz w:val="24"/>
          <w:szCs w:val="24"/>
        </w:rPr>
        <w:t xml:space="preserve">In my managerial role, I would apply the tool as a significant group work assignment that is applicable for the identification of a problem, and in special consideration when the group work falls into ruts </w:t>
      </w:r>
      <w:sdt>
        <w:sdtPr>
          <w:rPr>
            <w:rFonts w:ascii="Times New Roman" w:hAnsi="Times New Roman" w:cs="Times New Roman"/>
            <w:sz w:val="24"/>
            <w:szCs w:val="24"/>
          </w:rPr>
          <w:id w:val="493609002"/>
          <w:citation/>
        </w:sdtPr>
        <w:sdtContent>
          <w:r w:rsidR="00F275ED" w:rsidRPr="00C46675">
            <w:rPr>
              <w:rFonts w:ascii="Times New Roman" w:hAnsi="Times New Roman" w:cs="Times New Roman"/>
              <w:sz w:val="24"/>
              <w:szCs w:val="24"/>
            </w:rPr>
            <w:fldChar w:fldCharType="begin"/>
          </w:r>
          <w:r w:rsidRPr="00C46675">
            <w:rPr>
              <w:rFonts w:ascii="Times New Roman" w:hAnsi="Times New Roman" w:cs="Times New Roman"/>
              <w:sz w:val="24"/>
              <w:szCs w:val="24"/>
            </w:rPr>
            <w:instrText xml:space="preserve"> CITATION Rei14 \l 1033 </w:instrText>
          </w:r>
          <w:r w:rsidR="00F275ED" w:rsidRPr="00C46675">
            <w:rPr>
              <w:rFonts w:ascii="Times New Roman" w:hAnsi="Times New Roman" w:cs="Times New Roman"/>
              <w:sz w:val="24"/>
              <w:szCs w:val="24"/>
            </w:rPr>
            <w:fldChar w:fldCharType="separate"/>
          </w:r>
          <w:r w:rsidRPr="00C46675">
            <w:rPr>
              <w:rFonts w:ascii="Times New Roman" w:hAnsi="Times New Roman" w:cs="Times New Roman"/>
              <w:noProof/>
              <w:sz w:val="24"/>
              <w:szCs w:val="24"/>
            </w:rPr>
            <w:t>(Reilly, Myers, Salvador, &amp; Trowbridge, 2014)</w:t>
          </w:r>
          <w:r w:rsidR="00F275ED" w:rsidRPr="00C46675">
            <w:rPr>
              <w:rFonts w:ascii="Times New Roman" w:hAnsi="Times New Roman" w:cs="Times New Roman"/>
              <w:sz w:val="24"/>
              <w:szCs w:val="24"/>
            </w:rPr>
            <w:fldChar w:fldCharType="end"/>
          </w:r>
        </w:sdtContent>
      </w:sdt>
      <w:r w:rsidRPr="00C46675">
        <w:rPr>
          <w:rFonts w:ascii="Times New Roman" w:hAnsi="Times New Roman" w:cs="Times New Roman"/>
          <w:sz w:val="24"/>
          <w:szCs w:val="24"/>
        </w:rPr>
        <w:t xml:space="preserve">. </w:t>
      </w:r>
      <w:r w:rsidR="00F409C5" w:rsidRPr="00C46675">
        <w:rPr>
          <w:rFonts w:ascii="Times New Roman" w:hAnsi="Times New Roman" w:cs="Times New Roman"/>
          <w:sz w:val="24"/>
          <w:szCs w:val="24"/>
        </w:rPr>
        <w:t xml:space="preserve">The assembled group will agree on a possible problem which will form the fish head of the fishbone diagram. </w:t>
      </w:r>
      <w:r w:rsidR="000F011F" w:rsidRPr="00C46675">
        <w:rPr>
          <w:rFonts w:ascii="Times New Roman" w:hAnsi="Times New Roman" w:cs="Times New Roman"/>
          <w:sz w:val="24"/>
          <w:szCs w:val="24"/>
        </w:rPr>
        <w:t xml:space="preserve">The problem will be identified from analysis of the medical facility, and the causes identified will form means of improvement in terms of quality. </w:t>
      </w:r>
      <w:r w:rsidR="000F752B" w:rsidRPr="00C46675">
        <w:rPr>
          <w:rFonts w:ascii="Times New Roman" w:hAnsi="Times New Roman" w:cs="Times New Roman"/>
          <w:sz w:val="24"/>
          <w:szCs w:val="24"/>
        </w:rPr>
        <w:t xml:space="preserve">Brainstorming will follow the six generic headings stated, and will be analyzed accordingly. The brainstorming procedure will require analyses on the reason why a problem happens, and the answers given will be noted as ideas forming the </w:t>
      </w:r>
      <w:r w:rsidR="000F752B" w:rsidRPr="00C46675">
        <w:rPr>
          <w:rFonts w:ascii="Times New Roman" w:hAnsi="Times New Roman" w:cs="Times New Roman"/>
          <w:sz w:val="24"/>
          <w:szCs w:val="24"/>
        </w:rPr>
        <w:lastRenderedPageBreak/>
        <w:t xml:space="preserve">probable causes. </w:t>
      </w:r>
      <w:r w:rsidR="000F011F" w:rsidRPr="00C46675">
        <w:rPr>
          <w:rFonts w:ascii="Times New Roman" w:hAnsi="Times New Roman" w:cs="Times New Roman"/>
          <w:sz w:val="24"/>
          <w:szCs w:val="24"/>
        </w:rPr>
        <w:t>The causes may be branched to sub-causes using the same analyses, which will continue and form a hierarchical answer diagram</w:t>
      </w:r>
      <w:r w:rsidR="00C46675" w:rsidRPr="00C46675">
        <w:rPr>
          <w:rFonts w:ascii="Times New Roman" w:hAnsi="Times New Roman" w:cs="Times New Roman"/>
          <w:sz w:val="24"/>
          <w:szCs w:val="24"/>
        </w:rPr>
        <w:t xml:space="preserve"> </w:t>
      </w:r>
      <w:sdt>
        <w:sdtPr>
          <w:rPr>
            <w:rFonts w:ascii="Times New Roman" w:hAnsi="Times New Roman" w:cs="Times New Roman"/>
            <w:sz w:val="24"/>
            <w:szCs w:val="24"/>
          </w:rPr>
          <w:id w:val="493609004"/>
          <w:citation/>
        </w:sdtPr>
        <w:sdtContent>
          <w:r w:rsidR="00F275ED" w:rsidRPr="00C46675">
            <w:rPr>
              <w:rFonts w:ascii="Times New Roman" w:hAnsi="Times New Roman" w:cs="Times New Roman"/>
              <w:sz w:val="24"/>
              <w:szCs w:val="24"/>
            </w:rPr>
            <w:fldChar w:fldCharType="begin"/>
          </w:r>
          <w:r w:rsidR="00C46675" w:rsidRPr="00C46675">
            <w:rPr>
              <w:rFonts w:ascii="Times New Roman" w:hAnsi="Times New Roman" w:cs="Times New Roman"/>
              <w:sz w:val="24"/>
              <w:szCs w:val="24"/>
            </w:rPr>
            <w:instrText xml:space="preserve"> CITATION Sha12 \l 1033 </w:instrText>
          </w:r>
          <w:r w:rsidR="00F275ED" w:rsidRPr="00C46675">
            <w:rPr>
              <w:rFonts w:ascii="Times New Roman" w:hAnsi="Times New Roman" w:cs="Times New Roman"/>
              <w:sz w:val="24"/>
              <w:szCs w:val="24"/>
            </w:rPr>
            <w:fldChar w:fldCharType="separate"/>
          </w:r>
          <w:r w:rsidR="00C46675" w:rsidRPr="00C46675">
            <w:rPr>
              <w:rFonts w:ascii="Times New Roman" w:hAnsi="Times New Roman" w:cs="Times New Roman"/>
              <w:noProof/>
              <w:sz w:val="24"/>
              <w:szCs w:val="24"/>
            </w:rPr>
            <w:t>(Shaikh, 2012)</w:t>
          </w:r>
          <w:r w:rsidR="00F275ED" w:rsidRPr="00C46675">
            <w:rPr>
              <w:rFonts w:ascii="Times New Roman" w:hAnsi="Times New Roman" w:cs="Times New Roman"/>
              <w:sz w:val="24"/>
              <w:szCs w:val="24"/>
            </w:rPr>
            <w:fldChar w:fldCharType="end"/>
          </w:r>
        </w:sdtContent>
      </w:sdt>
      <w:r w:rsidR="000F011F" w:rsidRPr="00C46675">
        <w:rPr>
          <w:rFonts w:ascii="Times New Roman" w:hAnsi="Times New Roman" w:cs="Times New Roman"/>
          <w:sz w:val="24"/>
          <w:szCs w:val="24"/>
        </w:rPr>
        <w:t xml:space="preserve">. </w:t>
      </w:r>
      <w:r w:rsidR="000F752B" w:rsidRPr="00C46675">
        <w:rPr>
          <w:rFonts w:ascii="Times New Roman" w:hAnsi="Times New Roman" w:cs="Times New Roman"/>
          <w:sz w:val="24"/>
          <w:szCs w:val="24"/>
        </w:rPr>
        <w:t>Of the problem found within the generic headings, the categories of the probable causes identified will be highlighted as branches from the main generic arrow</w:t>
      </w:r>
      <w:r w:rsidR="000F011F" w:rsidRPr="00C46675">
        <w:rPr>
          <w:rFonts w:ascii="Times New Roman" w:hAnsi="Times New Roman" w:cs="Times New Roman"/>
          <w:sz w:val="24"/>
          <w:szCs w:val="24"/>
        </w:rPr>
        <w:t xml:space="preserve">. </w:t>
      </w:r>
      <w:r w:rsidR="000F752B" w:rsidRPr="00C46675">
        <w:rPr>
          <w:rFonts w:ascii="Times New Roman" w:hAnsi="Times New Roman" w:cs="Times New Roman"/>
          <w:sz w:val="24"/>
          <w:szCs w:val="24"/>
        </w:rPr>
        <w:t xml:space="preserve"> </w:t>
      </w:r>
    </w:p>
    <w:p w:rsidR="00D17A25" w:rsidRPr="00C46675" w:rsidRDefault="007701BA" w:rsidP="00C46675">
      <w:pPr>
        <w:spacing w:line="480" w:lineRule="auto"/>
        <w:ind w:firstLine="720"/>
        <w:rPr>
          <w:rFonts w:ascii="Times New Roman" w:hAnsi="Times New Roman" w:cs="Times New Roman"/>
          <w:sz w:val="24"/>
          <w:szCs w:val="24"/>
        </w:rPr>
      </w:pPr>
      <w:r w:rsidRPr="00C46675">
        <w:rPr>
          <w:rFonts w:ascii="Times New Roman" w:hAnsi="Times New Roman" w:cs="Times New Roman"/>
          <w:sz w:val="24"/>
          <w:szCs w:val="24"/>
        </w:rPr>
        <w:t>Forecasting is a critical determinant on what TQM approach to initiate. The success of a business is defined by its capability of maintaining its customers</w:t>
      </w:r>
      <w:r w:rsidR="00D17A25" w:rsidRPr="00C46675">
        <w:rPr>
          <w:rFonts w:ascii="Times New Roman" w:hAnsi="Times New Roman" w:cs="Times New Roman"/>
          <w:sz w:val="24"/>
          <w:szCs w:val="24"/>
        </w:rPr>
        <w:t xml:space="preserve"> through the efforts of product and process improvements. Forecasting allows organization to understand what their customers and value and is critical in assessing whether the two factions are on the same page. </w:t>
      </w:r>
      <w:r w:rsidR="00C46675">
        <w:rPr>
          <w:rFonts w:ascii="Times New Roman" w:hAnsi="Times New Roman" w:cs="Times New Roman"/>
          <w:sz w:val="24"/>
          <w:szCs w:val="24"/>
        </w:rPr>
        <w:t>The impacts of forecasting on TQM can be analyzed as follows:</w:t>
      </w:r>
    </w:p>
    <w:p w:rsidR="000F011F" w:rsidRPr="00C46675" w:rsidRDefault="00D17A25" w:rsidP="00C46675">
      <w:pPr>
        <w:pStyle w:val="ListParagraph"/>
        <w:numPr>
          <w:ilvl w:val="0"/>
          <w:numId w:val="2"/>
        </w:numPr>
        <w:spacing w:line="480" w:lineRule="auto"/>
        <w:rPr>
          <w:rFonts w:ascii="Times New Roman" w:hAnsi="Times New Roman" w:cs="Times New Roman"/>
          <w:sz w:val="24"/>
          <w:szCs w:val="24"/>
        </w:rPr>
      </w:pPr>
      <w:r w:rsidRPr="00C46675">
        <w:rPr>
          <w:rFonts w:ascii="Times New Roman" w:hAnsi="Times New Roman" w:cs="Times New Roman"/>
          <w:sz w:val="24"/>
          <w:szCs w:val="24"/>
        </w:rPr>
        <w:t>Forecasting is a critical tool in applying the concept that the customers and their requirements set the stage for quality. As such, forecasting is fundamental in ensuring TQM efforts have credible and purposeful objectives.</w:t>
      </w:r>
    </w:p>
    <w:p w:rsidR="00D17A25" w:rsidRPr="00C46675" w:rsidRDefault="00D17A25" w:rsidP="00C46675">
      <w:pPr>
        <w:pStyle w:val="ListParagraph"/>
        <w:numPr>
          <w:ilvl w:val="0"/>
          <w:numId w:val="2"/>
        </w:numPr>
        <w:spacing w:line="480" w:lineRule="auto"/>
        <w:rPr>
          <w:rFonts w:ascii="Times New Roman" w:hAnsi="Times New Roman" w:cs="Times New Roman"/>
          <w:sz w:val="24"/>
          <w:szCs w:val="24"/>
        </w:rPr>
      </w:pPr>
      <w:r w:rsidRPr="00C46675">
        <w:rPr>
          <w:rFonts w:ascii="Times New Roman" w:hAnsi="Times New Roman" w:cs="Times New Roman"/>
          <w:sz w:val="24"/>
          <w:szCs w:val="24"/>
        </w:rPr>
        <w:t>Forecasting also defines quality through identification of the direction of the organization in the industry and employs surveys and focus groups in identification of features and benefits the customers seek.</w:t>
      </w:r>
    </w:p>
    <w:p w:rsidR="00D17A25" w:rsidRPr="00C46675" w:rsidRDefault="00D17A25" w:rsidP="00C46675">
      <w:pPr>
        <w:pStyle w:val="ListParagraph"/>
        <w:numPr>
          <w:ilvl w:val="0"/>
          <w:numId w:val="2"/>
        </w:numPr>
        <w:spacing w:line="480" w:lineRule="auto"/>
        <w:rPr>
          <w:rFonts w:ascii="Times New Roman" w:hAnsi="Times New Roman" w:cs="Times New Roman"/>
          <w:sz w:val="24"/>
          <w:szCs w:val="24"/>
        </w:rPr>
      </w:pPr>
      <w:r w:rsidRPr="00C46675">
        <w:rPr>
          <w:rFonts w:ascii="Times New Roman" w:hAnsi="Times New Roman" w:cs="Times New Roman"/>
          <w:sz w:val="24"/>
          <w:szCs w:val="24"/>
        </w:rPr>
        <w:t xml:space="preserve">Forecasting is critical in supply chain management by ensuring the clients get what they want at the precise moment they want them </w:t>
      </w:r>
      <w:sdt>
        <w:sdtPr>
          <w:id w:val="493609003"/>
          <w:citation/>
        </w:sdtPr>
        <w:sdtContent>
          <w:r w:rsidR="00F275ED" w:rsidRPr="00C46675">
            <w:rPr>
              <w:rFonts w:ascii="Times New Roman" w:hAnsi="Times New Roman" w:cs="Times New Roman"/>
              <w:sz w:val="24"/>
              <w:szCs w:val="24"/>
            </w:rPr>
            <w:fldChar w:fldCharType="begin"/>
          </w:r>
          <w:r w:rsidRPr="00C46675">
            <w:rPr>
              <w:rFonts w:ascii="Times New Roman" w:hAnsi="Times New Roman" w:cs="Times New Roman"/>
              <w:sz w:val="24"/>
              <w:szCs w:val="24"/>
            </w:rPr>
            <w:instrText xml:space="preserve"> CITATION Ber19 \l 1033 </w:instrText>
          </w:r>
          <w:r w:rsidR="00F275ED" w:rsidRPr="00C46675">
            <w:rPr>
              <w:rFonts w:ascii="Times New Roman" w:hAnsi="Times New Roman" w:cs="Times New Roman"/>
              <w:sz w:val="24"/>
              <w:szCs w:val="24"/>
            </w:rPr>
            <w:fldChar w:fldCharType="separate"/>
          </w:r>
          <w:r w:rsidRPr="00C46675">
            <w:rPr>
              <w:rFonts w:ascii="Times New Roman" w:hAnsi="Times New Roman" w:cs="Times New Roman"/>
              <w:noProof/>
              <w:sz w:val="24"/>
              <w:szCs w:val="24"/>
            </w:rPr>
            <w:t>(Berman)</w:t>
          </w:r>
          <w:r w:rsidR="00F275ED" w:rsidRPr="00C46675">
            <w:rPr>
              <w:rFonts w:ascii="Times New Roman" w:hAnsi="Times New Roman" w:cs="Times New Roman"/>
              <w:sz w:val="24"/>
              <w:szCs w:val="24"/>
            </w:rPr>
            <w:fldChar w:fldCharType="end"/>
          </w:r>
        </w:sdtContent>
      </w:sdt>
      <w:r w:rsidRPr="00C46675">
        <w:rPr>
          <w:rFonts w:ascii="Times New Roman" w:hAnsi="Times New Roman" w:cs="Times New Roman"/>
          <w:sz w:val="24"/>
          <w:szCs w:val="24"/>
        </w:rPr>
        <w:t>. Demand forecast are thus effective in customer satisfaction and quality reputation</w:t>
      </w:r>
    </w:p>
    <w:p w:rsidR="00C46675" w:rsidRPr="00C46675" w:rsidRDefault="00D17A25" w:rsidP="00C46675">
      <w:pPr>
        <w:pStyle w:val="ListParagraph"/>
        <w:numPr>
          <w:ilvl w:val="0"/>
          <w:numId w:val="2"/>
        </w:numPr>
        <w:spacing w:line="480" w:lineRule="auto"/>
        <w:rPr>
          <w:rFonts w:ascii="Times New Roman" w:hAnsi="Times New Roman" w:cs="Times New Roman"/>
          <w:sz w:val="24"/>
          <w:szCs w:val="24"/>
        </w:rPr>
      </w:pPr>
      <w:r w:rsidRPr="00C46675">
        <w:rPr>
          <w:rFonts w:ascii="Times New Roman" w:hAnsi="Times New Roman" w:cs="Times New Roman"/>
          <w:sz w:val="24"/>
          <w:szCs w:val="24"/>
        </w:rPr>
        <w:t xml:space="preserve">Forecasting is also critical in the determination of the face and appearance of the organization in the future. The determination of what to produce and what markets to enter is determined through forecasts of the immediate and long term necessities of the clients identified through forecasting. </w:t>
      </w:r>
      <w:r w:rsidR="00C46675" w:rsidRPr="00C46675">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493609005"/>
        <w:docPartObj>
          <w:docPartGallery w:val="Bibliographies"/>
          <w:docPartUnique/>
        </w:docPartObj>
      </w:sdtPr>
      <w:sdtContent>
        <w:p w:rsidR="00C46675" w:rsidRPr="00C46675" w:rsidRDefault="00C46675" w:rsidP="00C46675">
          <w:pPr>
            <w:pStyle w:val="Heading1"/>
            <w:spacing w:line="480" w:lineRule="auto"/>
            <w:jc w:val="center"/>
            <w:rPr>
              <w:rFonts w:ascii="Times New Roman" w:hAnsi="Times New Roman" w:cs="Times New Roman"/>
              <w:color w:val="auto"/>
              <w:sz w:val="24"/>
              <w:szCs w:val="24"/>
            </w:rPr>
          </w:pPr>
          <w:r w:rsidRPr="00C46675">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C46675" w:rsidRPr="00C46675" w:rsidRDefault="00F275ED" w:rsidP="00C46675">
              <w:pPr>
                <w:pStyle w:val="Bibliography"/>
                <w:spacing w:line="480" w:lineRule="auto"/>
                <w:ind w:left="720" w:hanging="720"/>
                <w:rPr>
                  <w:rFonts w:ascii="Times New Roman" w:hAnsi="Times New Roman" w:cs="Times New Roman"/>
                  <w:noProof/>
                  <w:sz w:val="24"/>
                  <w:szCs w:val="24"/>
                </w:rPr>
              </w:pPr>
              <w:r w:rsidRPr="00C46675">
                <w:rPr>
                  <w:rFonts w:ascii="Times New Roman" w:hAnsi="Times New Roman" w:cs="Times New Roman"/>
                  <w:sz w:val="24"/>
                  <w:szCs w:val="24"/>
                </w:rPr>
                <w:fldChar w:fldCharType="begin"/>
              </w:r>
              <w:r w:rsidR="00C46675" w:rsidRPr="00C46675">
                <w:rPr>
                  <w:rFonts w:ascii="Times New Roman" w:hAnsi="Times New Roman" w:cs="Times New Roman"/>
                  <w:sz w:val="24"/>
                  <w:szCs w:val="24"/>
                </w:rPr>
                <w:instrText xml:space="preserve"> BIBLIOGRAPHY </w:instrText>
              </w:r>
              <w:r w:rsidRPr="00C46675">
                <w:rPr>
                  <w:rFonts w:ascii="Times New Roman" w:hAnsi="Times New Roman" w:cs="Times New Roman"/>
                  <w:sz w:val="24"/>
                  <w:szCs w:val="24"/>
                </w:rPr>
                <w:fldChar w:fldCharType="separate"/>
              </w:r>
              <w:r w:rsidR="00C46675" w:rsidRPr="00C46675">
                <w:rPr>
                  <w:rFonts w:ascii="Times New Roman" w:hAnsi="Times New Roman" w:cs="Times New Roman"/>
                  <w:noProof/>
                  <w:sz w:val="24"/>
                  <w:szCs w:val="24"/>
                </w:rPr>
                <w:t xml:space="preserve">Berman, C. (n.d.). </w:t>
              </w:r>
              <w:r w:rsidR="00C46675" w:rsidRPr="00C46675">
                <w:rPr>
                  <w:rFonts w:ascii="Times New Roman" w:hAnsi="Times New Roman" w:cs="Times New Roman"/>
                  <w:i/>
                  <w:iCs/>
                  <w:noProof/>
                  <w:sz w:val="24"/>
                  <w:szCs w:val="24"/>
                </w:rPr>
                <w:t>The Role of Forecasting in Initiating a TQM approach</w:t>
              </w:r>
              <w:r w:rsidR="00C46675" w:rsidRPr="00C46675">
                <w:rPr>
                  <w:rFonts w:ascii="Times New Roman" w:hAnsi="Times New Roman" w:cs="Times New Roman"/>
                  <w:noProof/>
                  <w:sz w:val="24"/>
                  <w:szCs w:val="24"/>
                </w:rPr>
                <w:t>. Retrieved June 2019, from Chron.com: https://smallbusiness.chron.com/role-forecasting-initiating-tqm-approach-81534.html</w:t>
              </w:r>
            </w:p>
            <w:p w:rsidR="00C46675" w:rsidRPr="00C46675" w:rsidRDefault="00C46675" w:rsidP="00C46675">
              <w:pPr>
                <w:pStyle w:val="Bibliography"/>
                <w:spacing w:line="480" w:lineRule="auto"/>
                <w:ind w:left="720" w:hanging="720"/>
                <w:rPr>
                  <w:rFonts w:ascii="Times New Roman" w:hAnsi="Times New Roman" w:cs="Times New Roman"/>
                  <w:noProof/>
                  <w:sz w:val="24"/>
                  <w:szCs w:val="24"/>
                </w:rPr>
              </w:pPr>
              <w:r w:rsidRPr="00C46675">
                <w:rPr>
                  <w:rFonts w:ascii="Times New Roman" w:hAnsi="Times New Roman" w:cs="Times New Roman"/>
                  <w:noProof/>
                  <w:sz w:val="24"/>
                  <w:szCs w:val="24"/>
                </w:rPr>
                <w:t xml:space="preserve">Neyestani, B. (2017, March). Seven Basic Tools of Quality Control: An Appropriate Tools for Soving Quality Problems in the Organization. </w:t>
              </w:r>
              <w:r w:rsidRPr="00C46675">
                <w:rPr>
                  <w:rFonts w:ascii="Times New Roman" w:hAnsi="Times New Roman" w:cs="Times New Roman"/>
                  <w:i/>
                  <w:iCs/>
                  <w:noProof/>
                  <w:sz w:val="24"/>
                  <w:szCs w:val="24"/>
                </w:rPr>
                <w:t>Munich Personal RePEc Archive</w:t>
              </w:r>
              <w:r w:rsidRPr="00C46675">
                <w:rPr>
                  <w:rFonts w:ascii="Times New Roman" w:hAnsi="Times New Roman" w:cs="Times New Roman"/>
                  <w:noProof/>
                  <w:sz w:val="24"/>
                  <w:szCs w:val="24"/>
                </w:rPr>
                <w:t xml:space="preserve"> .</w:t>
              </w:r>
            </w:p>
            <w:p w:rsidR="00C46675" w:rsidRPr="00C46675" w:rsidRDefault="00C46675" w:rsidP="00C46675">
              <w:pPr>
                <w:pStyle w:val="Bibliography"/>
                <w:spacing w:line="480" w:lineRule="auto"/>
                <w:ind w:left="720" w:hanging="720"/>
                <w:rPr>
                  <w:rFonts w:ascii="Times New Roman" w:hAnsi="Times New Roman" w:cs="Times New Roman"/>
                  <w:noProof/>
                  <w:sz w:val="24"/>
                  <w:szCs w:val="24"/>
                </w:rPr>
              </w:pPr>
              <w:r w:rsidRPr="00C46675">
                <w:rPr>
                  <w:rFonts w:ascii="Times New Roman" w:hAnsi="Times New Roman" w:cs="Times New Roman"/>
                  <w:noProof/>
                  <w:sz w:val="24"/>
                  <w:szCs w:val="24"/>
                </w:rPr>
                <w:t xml:space="preserve">Reilly, J. B., Myers, J. S., Salvador, D., &amp; Trowbridge, R. L. (2014). Use of a novel, modified fishbone diagram to analyze diagnostic errors. </w:t>
              </w:r>
              <w:r w:rsidRPr="00C46675">
                <w:rPr>
                  <w:rFonts w:ascii="Times New Roman" w:hAnsi="Times New Roman" w:cs="Times New Roman"/>
                  <w:i/>
                  <w:iCs/>
                  <w:noProof/>
                  <w:sz w:val="24"/>
                  <w:szCs w:val="24"/>
                </w:rPr>
                <w:t>Diagnosis</w:t>
              </w:r>
              <w:r w:rsidRPr="00C46675">
                <w:rPr>
                  <w:rFonts w:ascii="Times New Roman" w:hAnsi="Times New Roman" w:cs="Times New Roman"/>
                  <w:noProof/>
                  <w:sz w:val="24"/>
                  <w:szCs w:val="24"/>
                </w:rPr>
                <w:t xml:space="preserve"> </w:t>
              </w:r>
              <w:r w:rsidRPr="00C46675">
                <w:rPr>
                  <w:rFonts w:ascii="Times New Roman" w:hAnsi="Times New Roman" w:cs="Times New Roman"/>
                  <w:i/>
                  <w:iCs/>
                  <w:noProof/>
                  <w:sz w:val="24"/>
                  <w:szCs w:val="24"/>
                </w:rPr>
                <w:t>, 1</w:t>
              </w:r>
              <w:r w:rsidRPr="00C46675">
                <w:rPr>
                  <w:rFonts w:ascii="Times New Roman" w:hAnsi="Times New Roman" w:cs="Times New Roman"/>
                  <w:noProof/>
                  <w:sz w:val="24"/>
                  <w:szCs w:val="24"/>
                </w:rPr>
                <w:t xml:space="preserve"> (2), 167-171.</w:t>
              </w:r>
            </w:p>
            <w:p w:rsidR="00C46675" w:rsidRPr="00C46675" w:rsidRDefault="00C46675" w:rsidP="00C46675">
              <w:pPr>
                <w:pStyle w:val="Bibliography"/>
                <w:spacing w:line="480" w:lineRule="auto"/>
                <w:ind w:left="720" w:hanging="720"/>
                <w:rPr>
                  <w:rFonts w:ascii="Times New Roman" w:hAnsi="Times New Roman" w:cs="Times New Roman"/>
                  <w:noProof/>
                  <w:sz w:val="24"/>
                  <w:szCs w:val="24"/>
                </w:rPr>
              </w:pPr>
              <w:r w:rsidRPr="00C46675">
                <w:rPr>
                  <w:rFonts w:ascii="Times New Roman" w:hAnsi="Times New Roman" w:cs="Times New Roman"/>
                  <w:noProof/>
                  <w:sz w:val="24"/>
                  <w:szCs w:val="24"/>
                </w:rPr>
                <w:t xml:space="preserve">Shaikh, M. J. (2012). TQM and business performance: An investigation into FMCG Companies. </w:t>
              </w:r>
              <w:r w:rsidRPr="00C46675">
                <w:rPr>
                  <w:rFonts w:ascii="Times New Roman" w:hAnsi="Times New Roman" w:cs="Times New Roman"/>
                  <w:i/>
                  <w:iCs/>
                  <w:noProof/>
                  <w:sz w:val="24"/>
                  <w:szCs w:val="24"/>
                </w:rPr>
                <w:t>International Journal of Scientific &amp; Technology Research</w:t>
              </w:r>
              <w:r w:rsidRPr="00C46675">
                <w:rPr>
                  <w:rFonts w:ascii="Times New Roman" w:hAnsi="Times New Roman" w:cs="Times New Roman"/>
                  <w:noProof/>
                  <w:sz w:val="24"/>
                  <w:szCs w:val="24"/>
                </w:rPr>
                <w:t xml:space="preserve"> </w:t>
              </w:r>
              <w:r w:rsidRPr="00C46675">
                <w:rPr>
                  <w:rFonts w:ascii="Times New Roman" w:hAnsi="Times New Roman" w:cs="Times New Roman"/>
                  <w:i/>
                  <w:iCs/>
                  <w:noProof/>
                  <w:sz w:val="24"/>
                  <w:szCs w:val="24"/>
                </w:rPr>
                <w:t>, 1</w:t>
              </w:r>
              <w:r w:rsidRPr="00C46675">
                <w:rPr>
                  <w:rFonts w:ascii="Times New Roman" w:hAnsi="Times New Roman" w:cs="Times New Roman"/>
                  <w:noProof/>
                  <w:sz w:val="24"/>
                  <w:szCs w:val="24"/>
                </w:rPr>
                <w:t xml:space="preserve"> (10), 1-12.</w:t>
              </w:r>
            </w:p>
            <w:p w:rsidR="00C46675" w:rsidRPr="00C46675" w:rsidRDefault="00F275ED" w:rsidP="00C46675">
              <w:pPr>
                <w:spacing w:line="480" w:lineRule="auto"/>
                <w:ind w:left="720" w:hanging="720"/>
                <w:rPr>
                  <w:rFonts w:ascii="Times New Roman" w:hAnsi="Times New Roman" w:cs="Times New Roman"/>
                  <w:sz w:val="24"/>
                  <w:szCs w:val="24"/>
                </w:rPr>
              </w:pPr>
              <w:r w:rsidRPr="00C46675">
                <w:rPr>
                  <w:rFonts w:ascii="Times New Roman" w:hAnsi="Times New Roman" w:cs="Times New Roman"/>
                  <w:sz w:val="24"/>
                  <w:szCs w:val="24"/>
                </w:rPr>
                <w:fldChar w:fldCharType="end"/>
              </w:r>
            </w:p>
          </w:sdtContent>
        </w:sdt>
      </w:sdtContent>
    </w:sdt>
    <w:p w:rsidR="00714DDC" w:rsidRDefault="00714DDC">
      <w:pPr>
        <w:rPr>
          <w:rFonts w:ascii="Times New Roman" w:hAnsi="Times New Roman" w:cs="Times New Roman"/>
          <w:sz w:val="24"/>
          <w:szCs w:val="24"/>
        </w:rPr>
      </w:pPr>
      <w:r>
        <w:rPr>
          <w:rFonts w:ascii="Times New Roman" w:hAnsi="Times New Roman" w:cs="Times New Roman"/>
          <w:sz w:val="24"/>
          <w:szCs w:val="24"/>
        </w:rPr>
        <w:br w:type="page"/>
      </w:r>
    </w:p>
    <w:p w:rsidR="00D17A25" w:rsidRDefault="00714DDC" w:rsidP="00714DD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Appendix</w:t>
      </w:r>
    </w:p>
    <w:p w:rsidR="00714DDC" w:rsidRPr="00C46675" w:rsidRDefault="00714DDC" w:rsidP="00D92B95">
      <w:pPr>
        <w:spacing w:line="480" w:lineRule="auto"/>
        <w:ind w:left="-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7010400" cy="4714875"/>
            <wp:effectExtent l="19050" t="0" r="0" b="0"/>
            <wp:docPr id="1" name="Picture 0" descr="fishbone_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bone_ex.png"/>
                    <pic:cNvPicPr/>
                  </pic:nvPicPr>
                  <pic:blipFill>
                    <a:blip r:embed="rId8"/>
                    <a:stretch>
                      <a:fillRect/>
                    </a:stretch>
                  </pic:blipFill>
                  <pic:spPr>
                    <a:xfrm>
                      <a:off x="0" y="0"/>
                      <a:ext cx="7010400" cy="4714875"/>
                    </a:xfrm>
                    <a:prstGeom prst="rect">
                      <a:avLst/>
                    </a:prstGeom>
                  </pic:spPr>
                </pic:pic>
              </a:graphicData>
            </a:graphic>
          </wp:inline>
        </w:drawing>
      </w:r>
    </w:p>
    <w:sectPr w:rsidR="00714DDC" w:rsidRPr="00C46675" w:rsidSect="00C4667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7087" w:rsidRDefault="00727087" w:rsidP="00C46675">
      <w:pPr>
        <w:spacing w:after="0" w:line="240" w:lineRule="auto"/>
      </w:pPr>
      <w:r>
        <w:separator/>
      </w:r>
    </w:p>
  </w:endnote>
  <w:endnote w:type="continuationSeparator" w:id="1">
    <w:p w:rsidR="00727087" w:rsidRDefault="00727087" w:rsidP="00C466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7087" w:rsidRDefault="00727087" w:rsidP="00C46675">
      <w:pPr>
        <w:spacing w:after="0" w:line="240" w:lineRule="auto"/>
      </w:pPr>
      <w:r>
        <w:separator/>
      </w:r>
    </w:p>
  </w:footnote>
  <w:footnote w:type="continuationSeparator" w:id="1">
    <w:p w:rsidR="00727087" w:rsidRDefault="00727087" w:rsidP="00C466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675" w:rsidRPr="00C46675" w:rsidRDefault="00C46675">
    <w:pPr>
      <w:pStyle w:val="Header"/>
      <w:jc w:val="right"/>
      <w:rPr>
        <w:rFonts w:ascii="Times New Roman" w:hAnsi="Times New Roman" w:cs="Times New Roman"/>
        <w:sz w:val="24"/>
      </w:rPr>
    </w:pPr>
    <w:r w:rsidRPr="00C46675">
      <w:rPr>
        <w:rFonts w:ascii="Times New Roman" w:hAnsi="Times New Roman" w:cs="Times New Roman"/>
        <w:sz w:val="24"/>
      </w:rPr>
      <w:t>TOTAL QUALITY MANAGEMENT</w:t>
    </w:r>
    <w:r w:rsidRPr="00C46675">
      <w:rPr>
        <w:rFonts w:ascii="Times New Roman" w:hAnsi="Times New Roman" w:cs="Times New Roman"/>
        <w:sz w:val="24"/>
      </w:rPr>
      <w:tab/>
    </w:r>
    <w:r w:rsidRPr="00C46675">
      <w:rPr>
        <w:rFonts w:ascii="Times New Roman" w:hAnsi="Times New Roman" w:cs="Times New Roman"/>
        <w:sz w:val="24"/>
      </w:rPr>
      <w:tab/>
    </w:r>
    <w:sdt>
      <w:sdtPr>
        <w:rPr>
          <w:rFonts w:ascii="Times New Roman" w:hAnsi="Times New Roman" w:cs="Times New Roman"/>
          <w:sz w:val="24"/>
        </w:rPr>
        <w:id w:val="493609010"/>
        <w:docPartObj>
          <w:docPartGallery w:val="Page Numbers (Top of Page)"/>
          <w:docPartUnique/>
        </w:docPartObj>
      </w:sdtPr>
      <w:sdtContent>
        <w:r w:rsidR="00F275ED" w:rsidRPr="00C46675">
          <w:rPr>
            <w:rFonts w:ascii="Times New Roman" w:hAnsi="Times New Roman" w:cs="Times New Roman"/>
            <w:sz w:val="24"/>
          </w:rPr>
          <w:fldChar w:fldCharType="begin"/>
        </w:r>
        <w:r w:rsidRPr="00C46675">
          <w:rPr>
            <w:rFonts w:ascii="Times New Roman" w:hAnsi="Times New Roman" w:cs="Times New Roman"/>
            <w:sz w:val="24"/>
          </w:rPr>
          <w:instrText xml:space="preserve"> PAGE   \* MERGEFORMAT </w:instrText>
        </w:r>
        <w:r w:rsidR="00F275ED" w:rsidRPr="00C46675">
          <w:rPr>
            <w:rFonts w:ascii="Times New Roman" w:hAnsi="Times New Roman" w:cs="Times New Roman"/>
            <w:sz w:val="24"/>
          </w:rPr>
          <w:fldChar w:fldCharType="separate"/>
        </w:r>
        <w:r w:rsidR="00D92B95">
          <w:rPr>
            <w:rFonts w:ascii="Times New Roman" w:hAnsi="Times New Roman" w:cs="Times New Roman"/>
            <w:noProof/>
            <w:sz w:val="24"/>
          </w:rPr>
          <w:t>5</w:t>
        </w:r>
        <w:r w:rsidR="00F275ED" w:rsidRPr="00C46675">
          <w:rPr>
            <w:rFonts w:ascii="Times New Roman" w:hAnsi="Times New Roman" w:cs="Times New Roman"/>
            <w:sz w:val="24"/>
          </w:rPr>
          <w:fldChar w:fldCharType="end"/>
        </w:r>
      </w:sdtContent>
    </w:sdt>
  </w:p>
  <w:p w:rsidR="00C46675" w:rsidRPr="00C46675" w:rsidRDefault="00C46675">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675" w:rsidRPr="00C46675" w:rsidRDefault="00C46675">
    <w:pPr>
      <w:pStyle w:val="Header"/>
      <w:jc w:val="right"/>
      <w:rPr>
        <w:rFonts w:ascii="Times New Roman" w:hAnsi="Times New Roman" w:cs="Times New Roman"/>
        <w:sz w:val="24"/>
      </w:rPr>
    </w:pPr>
    <w:r w:rsidRPr="00C46675">
      <w:rPr>
        <w:rFonts w:ascii="Times New Roman" w:hAnsi="Times New Roman" w:cs="Times New Roman"/>
        <w:sz w:val="24"/>
      </w:rPr>
      <w:t xml:space="preserve">Running Head: TOTAL QUALITY MANAGEMENT </w:t>
    </w:r>
    <w:r w:rsidRPr="00C46675">
      <w:rPr>
        <w:rFonts w:ascii="Times New Roman" w:hAnsi="Times New Roman" w:cs="Times New Roman"/>
        <w:sz w:val="24"/>
      </w:rPr>
      <w:tab/>
    </w:r>
    <w:sdt>
      <w:sdtPr>
        <w:rPr>
          <w:rFonts w:ascii="Times New Roman" w:hAnsi="Times New Roman" w:cs="Times New Roman"/>
          <w:sz w:val="24"/>
        </w:rPr>
        <w:id w:val="493609046"/>
        <w:docPartObj>
          <w:docPartGallery w:val="Page Numbers (Top of Page)"/>
          <w:docPartUnique/>
        </w:docPartObj>
      </w:sdtPr>
      <w:sdtContent>
        <w:r w:rsidR="00F275ED" w:rsidRPr="00C46675">
          <w:rPr>
            <w:rFonts w:ascii="Times New Roman" w:hAnsi="Times New Roman" w:cs="Times New Roman"/>
            <w:sz w:val="24"/>
          </w:rPr>
          <w:fldChar w:fldCharType="begin"/>
        </w:r>
        <w:r w:rsidRPr="00C46675">
          <w:rPr>
            <w:rFonts w:ascii="Times New Roman" w:hAnsi="Times New Roman" w:cs="Times New Roman"/>
            <w:sz w:val="24"/>
          </w:rPr>
          <w:instrText xml:space="preserve"> PAGE   \* MERGEFORMAT </w:instrText>
        </w:r>
        <w:r w:rsidR="00F275ED" w:rsidRPr="00C46675">
          <w:rPr>
            <w:rFonts w:ascii="Times New Roman" w:hAnsi="Times New Roman" w:cs="Times New Roman"/>
            <w:sz w:val="24"/>
          </w:rPr>
          <w:fldChar w:fldCharType="separate"/>
        </w:r>
        <w:r w:rsidR="00714DDC">
          <w:rPr>
            <w:rFonts w:ascii="Times New Roman" w:hAnsi="Times New Roman" w:cs="Times New Roman"/>
            <w:noProof/>
            <w:sz w:val="24"/>
          </w:rPr>
          <w:t>1</w:t>
        </w:r>
        <w:r w:rsidR="00F275ED" w:rsidRPr="00C46675">
          <w:rPr>
            <w:rFonts w:ascii="Times New Roman" w:hAnsi="Times New Roman" w:cs="Times New Roman"/>
            <w:sz w:val="24"/>
          </w:rPr>
          <w:fldChar w:fldCharType="end"/>
        </w:r>
      </w:sdtContent>
    </w:sdt>
  </w:p>
  <w:p w:rsidR="00C46675" w:rsidRPr="00C46675" w:rsidRDefault="00C46675">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E0D73"/>
    <w:multiLevelType w:val="hybridMultilevel"/>
    <w:tmpl w:val="7A56A9B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F666DB1"/>
    <w:multiLevelType w:val="hybridMultilevel"/>
    <w:tmpl w:val="ECE49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2369E"/>
    <w:rsid w:val="000F011F"/>
    <w:rsid w:val="000F752B"/>
    <w:rsid w:val="0032369E"/>
    <w:rsid w:val="00517A74"/>
    <w:rsid w:val="00714DDC"/>
    <w:rsid w:val="00727087"/>
    <w:rsid w:val="007701BA"/>
    <w:rsid w:val="00AA76DA"/>
    <w:rsid w:val="00C46675"/>
    <w:rsid w:val="00D17A25"/>
    <w:rsid w:val="00D92B95"/>
    <w:rsid w:val="00F13F07"/>
    <w:rsid w:val="00F275ED"/>
    <w:rsid w:val="00F409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5ED"/>
  </w:style>
  <w:style w:type="paragraph" w:styleId="Heading1">
    <w:name w:val="heading 1"/>
    <w:basedOn w:val="Normal"/>
    <w:next w:val="Normal"/>
    <w:link w:val="Heading1Char"/>
    <w:uiPriority w:val="9"/>
    <w:qFormat/>
    <w:rsid w:val="00C4667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369E"/>
    <w:pPr>
      <w:ind w:left="720"/>
      <w:contextualSpacing/>
    </w:pPr>
  </w:style>
  <w:style w:type="paragraph" w:styleId="BalloonText">
    <w:name w:val="Balloon Text"/>
    <w:basedOn w:val="Normal"/>
    <w:link w:val="BalloonTextChar"/>
    <w:uiPriority w:val="99"/>
    <w:semiHidden/>
    <w:unhideWhenUsed/>
    <w:rsid w:val="00F13F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3F07"/>
    <w:rPr>
      <w:rFonts w:ascii="Tahoma" w:hAnsi="Tahoma" w:cs="Tahoma"/>
      <w:sz w:val="16"/>
      <w:szCs w:val="16"/>
    </w:rPr>
  </w:style>
  <w:style w:type="character" w:customStyle="1" w:styleId="Heading1Char">
    <w:name w:val="Heading 1 Char"/>
    <w:basedOn w:val="DefaultParagraphFont"/>
    <w:link w:val="Heading1"/>
    <w:uiPriority w:val="9"/>
    <w:rsid w:val="00C4667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46675"/>
  </w:style>
  <w:style w:type="paragraph" w:styleId="Header">
    <w:name w:val="header"/>
    <w:basedOn w:val="Normal"/>
    <w:link w:val="HeaderChar"/>
    <w:uiPriority w:val="99"/>
    <w:unhideWhenUsed/>
    <w:rsid w:val="00C466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675"/>
  </w:style>
  <w:style w:type="paragraph" w:styleId="Footer">
    <w:name w:val="footer"/>
    <w:basedOn w:val="Normal"/>
    <w:link w:val="FooterChar"/>
    <w:uiPriority w:val="99"/>
    <w:semiHidden/>
    <w:unhideWhenUsed/>
    <w:rsid w:val="00C466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667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Ney17</b:Tag>
    <b:SourceType>JournalArticle</b:SourceType>
    <b:Guid>{1E8A8146-7F8C-4FD9-AF3A-3A50BEBF5418}</b:Guid>
    <b:LCID>0</b:LCID>
    <b:Author>
      <b:Author>
        <b:NameList>
          <b:Person>
            <b:Last>Neyestani</b:Last>
            <b:First>Behnam</b:First>
          </b:Person>
        </b:NameList>
      </b:Author>
    </b:Author>
    <b:Title>Seven Basic Tools of Quality Control: An Appropriate Tools for Soving Quality Problems in the Organization</b:Title>
    <b:JournalName>Munich Personal RePEc Archive</b:JournalName>
    <b:Year>2017</b:Year>
    <b:Month>March</b:Month>
    <b:RefOrder>1</b:RefOrder>
  </b:Source>
  <b:Source>
    <b:Tag>Rei14</b:Tag>
    <b:SourceType>JournalArticle</b:SourceType>
    <b:Guid>{75462F5F-0E1A-411D-BC7A-CF07737557A9}</b:Guid>
    <b:LCID>0</b:LCID>
    <b:Author>
      <b:Author>
        <b:NameList>
          <b:Person>
            <b:Last>Reilly</b:Last>
            <b:First>James</b:First>
            <b:Middle>B.</b:Middle>
          </b:Person>
          <b:Person>
            <b:Last>Myers</b:Last>
            <b:First>Jennifer</b:First>
            <b:Middle>S.</b:Middle>
          </b:Person>
          <b:Person>
            <b:Last>Salvador</b:Last>
            <b:First>Doug</b:First>
          </b:Person>
          <b:Person>
            <b:Last>Trowbridge</b:Last>
            <b:First>Robert</b:First>
            <b:Middle>L.</b:Middle>
          </b:Person>
        </b:NameList>
      </b:Author>
    </b:Author>
    <b:Title>Use of a novel, modified fishbone diagram to analyze diagnostic errors.</b:Title>
    <b:JournalName>Diagnosis</b:JournalName>
    <b:Year>2014</b:Year>
    <b:Pages>167-171</b:Pages>
    <b:Volume>1</b:Volume>
    <b:Issue>2</b:Issue>
    <b:RefOrder>2</b:RefOrder>
  </b:Source>
  <b:Source>
    <b:Tag>Ber19</b:Tag>
    <b:SourceType>InternetSite</b:SourceType>
    <b:Guid>{1F3BBA70-6D56-4BA8-8E77-D01242C673A3}</b:Guid>
    <b:LCID>0</b:LCID>
    <b:Author>
      <b:Author>
        <b:NameList>
          <b:Person>
            <b:Last>Berman</b:Last>
            <b:First>Craig</b:First>
          </b:Person>
        </b:NameList>
      </b:Author>
    </b:Author>
    <b:Title>The Role of Forecasting in Initiating a TQM approach</b:Title>
    <b:InternetSiteTitle>Chron.com</b:InternetSiteTitle>
    <b:YearAccessed>2019</b:YearAccessed>
    <b:MonthAccessed>June</b:MonthAccessed>
    <b:URL>https://smallbusiness.chron.com/role-forecasting-initiating-tqm-approach-81534.html</b:URL>
    <b:RefOrder>4</b:RefOrder>
  </b:Source>
  <b:Source>
    <b:Tag>Sha12</b:Tag>
    <b:SourceType>JournalArticle</b:SourceType>
    <b:Guid>{760DB48F-20CF-4A1A-8D10-0117AB15EAE3}</b:Guid>
    <b:LCID>0</b:LCID>
    <b:Author>
      <b:Author>
        <b:NameList>
          <b:Person>
            <b:Last>Shaikh</b:Last>
            <b:First>M.</b:First>
            <b:Middle>Jiyad</b:Middle>
          </b:Person>
        </b:NameList>
      </b:Author>
    </b:Author>
    <b:Title>TQM and business performance: An investigation into FMCG Companies</b:Title>
    <b:Year>2012</b:Year>
    <b:JournalName>International Journal of Scientific &amp; Technology Research</b:JournalName>
    <b:Pages>1-12</b:Pages>
    <b:Volume>1</b:Volume>
    <b:Issue>10</b:Issue>
    <b:RefOrder>3</b:RefOrder>
  </b:Source>
</b:Sources>
</file>

<file path=customXml/itemProps1.xml><?xml version="1.0" encoding="utf-8"?>
<ds:datastoreItem xmlns:ds="http://schemas.openxmlformats.org/officeDocument/2006/customXml" ds:itemID="{E7AC5D11-7E69-43F5-90DB-0A5CE5BDB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5</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2019-06-18T09:06:00Z</dcterms:created>
  <dcterms:modified xsi:type="dcterms:W3CDTF">2019-06-18T18:52:00Z</dcterms:modified>
</cp:coreProperties>
</file>